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0B9A" w14:textId="606FEFFB" w:rsidR="000A3BA2" w:rsidRDefault="003643F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Formularz parametrów wymaganych i ocenianych  </w:t>
      </w:r>
    </w:p>
    <w:p w14:paraId="193AE0B9" w14:textId="77777777" w:rsidR="000A3BA2" w:rsidRDefault="003643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PARAMETRY WYMAGANE</w:t>
      </w:r>
    </w:p>
    <w:p w14:paraId="02CBE184" w14:textId="77777777" w:rsidR="000A3BA2" w:rsidRDefault="003643FF">
      <w:pPr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Odczynniki i materiały eksploatacyjne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barwień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IHC zostały oszacowane na wykonanie około 76 000 oznaczeń, natomiast  </w:t>
      </w:r>
      <w:proofErr w:type="spellStart"/>
      <w:r>
        <w:rPr>
          <w:rFonts w:ascii="Times New Roman" w:hAnsi="Times New Roman" w:cs="Times New Roman"/>
          <w:sz w:val="24"/>
          <w:szCs w:val="24"/>
        </w:rPr>
        <w:t>barwień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histochemicznych na około 1000 oznaczeń. Dzierżawa 3 systemów do barwienia IHC i 1 systemu do </w:t>
      </w:r>
      <w:proofErr w:type="spellStart"/>
      <w:r>
        <w:rPr>
          <w:rFonts w:ascii="Times New Roman" w:hAnsi="Times New Roman" w:cs="Times New Roman"/>
          <w:sz w:val="24"/>
          <w:szCs w:val="24"/>
        </w:rPr>
        <w:t>barwień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histochemicznych  trwać będzie przez okres 36 miesięcy od dnia podpisania umowy.  </w:t>
      </w:r>
    </w:p>
    <w:p w14:paraId="6297434B" w14:textId="77777777" w:rsidR="000A3BA2" w:rsidRDefault="003643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Odczynniki i materiały eksploatacyjne do wykonania testów/oznaczeń immunohistochemicznych są rozumiane jako przeciwciało pierwotne. Wymagany jest inny niezbędny asortyment niezbędny do funkcjonowania systemów np.  system detekcyjny wolny od biotyny, </w:t>
      </w:r>
      <w:proofErr w:type="spellStart"/>
      <w:r>
        <w:rPr>
          <w:rFonts w:ascii="Times New Roman" w:hAnsi="Times New Roman" w:cs="Times New Roman"/>
          <w:sz w:val="24"/>
          <w:szCs w:val="24"/>
        </w:rPr>
        <w:t>bloker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endogennej peroksydazy, bufory do odparafinowania, odkrywania antygenów i uwadniania, bufor do przepłukiwania, rozcieńczalnik do przeciwciał pierwotnych, </w:t>
      </w:r>
      <w:proofErr w:type="spellStart"/>
      <w:r>
        <w:rPr>
          <w:rFonts w:ascii="Times New Roman" w:hAnsi="Times New Roman" w:cs="Times New Roman"/>
          <w:sz w:val="24"/>
          <w:szCs w:val="24"/>
        </w:rPr>
        <w:t>hematoksylina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dodatkowe immunoglobuliny wzmacniające sygnał odczynu immunohistochemicznego, puste pojemniki do przeciwciał stężonych lub przeciwciał innych producentów o różnych objętościach,  szkiełko nakrywkowe, medium do zaklejania, medium wodne do zaklejania.  Dodatkowo system detekcyjny do wykonywania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barwień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podwójnych.</w:t>
      </w:r>
    </w:p>
    <w:p w14:paraId="5FFD72E2" w14:textId="77777777" w:rsidR="000A3BA2" w:rsidRDefault="003643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Odczynniki i materiały eksploatacyjne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barwień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histochemicznych są rozumiane jako specyficzne odczynniki chemiczne do wykonania określonych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barwień</w:t>
      </w:r>
      <w:proofErr w:type="spellEnd"/>
      <w:r>
        <w:rPr>
          <w:rFonts w:ascii="Times New Roman" w:hAnsi="Times New Roman" w:cs="Times New Roman"/>
          <w:sz w:val="24"/>
          <w:szCs w:val="24"/>
        </w:rPr>
        <w:t>, bufory, klipsy oraz inne materiały eksploatacyjne (jeśli dotyczy), szkiełko nakrywkowe i medium do zaklejania.</w:t>
      </w:r>
    </w:p>
    <w:p w14:paraId="192D2265" w14:textId="77777777" w:rsidR="000A3BA2" w:rsidRDefault="000A3B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26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8" w:type="dxa"/>
        </w:tblCellMar>
        <w:tblLook w:val="00A0" w:firstRow="1" w:lastRow="0" w:firstColumn="1" w:lastColumn="0" w:noHBand="0" w:noVBand="0"/>
      </w:tblPr>
      <w:tblGrid>
        <w:gridCol w:w="579"/>
        <w:gridCol w:w="3781"/>
        <w:gridCol w:w="1192"/>
        <w:gridCol w:w="3274"/>
      </w:tblGrid>
      <w:tr w:rsidR="000A3BA2" w14:paraId="348B5899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738D2B72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09C89B72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Parametry wymagane dla systemu do diagnostyki IHC / 3 sztuki /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70000E99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Warunek konieczny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4D3CE789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parametrów oferowanych</w:t>
            </w:r>
          </w:p>
        </w:tc>
      </w:tr>
      <w:tr w:rsidR="000A3BA2" w14:paraId="3C864275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60D2B9A6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0F290DDE" w14:textId="77777777" w:rsidR="000A3BA2" w:rsidRDefault="003643FF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Ilość odczynników oraz materiałów eksploatacyjnych do diagnostyki IHC powinna być skalkulowana tak aby umożliwiała wykonanie 76 000 testów/oznaczeń IHC, przy założeniu zastosowania 200ul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 jeden test/oznaczenie w przypadku aparatów o zmiennej objętości, a w przypadku aparatów o stałej objętości według zaleceń producenta.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3505BB17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37E73919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3BA2" w14:paraId="24356BCE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05B05C32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59CDADE6" w14:textId="77777777" w:rsidR="000A3BA2" w:rsidRDefault="003643FF">
            <w:pPr>
              <w:spacing w:after="0" w:line="100" w:lineRule="atLeast"/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Przeciwciała pierwotne, mono –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poliklonalne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mysie i królicze,  przeznaczone do diagnostyki  ludzkiego materiału tkankowego,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utrwalonego w formalinie i zatopionego w parafinie oraz rozmazów cytologicznych .  Przeciwciała w gotowych rozcieńczeniach, w opakowaniach  na max. 50  oznaczeń. W wyjątkowych sytuacjach, Zamawiający dopuszcza   przeciwciała stężone, wówczas należy  wskazać, które z nich  są stężone.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42953230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70B328E9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3BA2" w14:paraId="3CC0EA10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30758CBD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28A4EC67" w14:textId="77777777" w:rsidR="000A3BA2" w:rsidRDefault="003643FF">
            <w:pPr>
              <w:spacing w:after="0" w:line="100" w:lineRule="atLeast"/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Przeciwciała pierwotne w gotowych rozcieńczeniach muszą być kompatybilne z oferowanym systemem wizualizacyjnym oraz pochodzić od jednego wytwórcy. Pakowane w hermetycznie zamkniętych pojemnikach, oznakowane kodem kreskowym. Na każdym opakowaniu podana   data ważnośc</w:t>
            </w:r>
            <w:r w:rsidRPr="001E7229"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i,  </w:t>
            </w:r>
            <w:r w:rsidRPr="001E7229">
              <w:rPr>
                <w:rFonts w:ascii="Times New Roman" w:hAnsi="Times New Roman" w:cs="Times New Roman"/>
                <w:color w:val="auto"/>
                <w:lang w:eastAsia="zh-CN"/>
              </w:rPr>
              <w:t xml:space="preserve">dopuszcza  się możliwość zaoferowania </w:t>
            </w:r>
            <w:r w:rsidRPr="001E7229">
              <w:rPr>
                <w:rFonts w:ascii="Times New Roman" w:hAnsi="Times New Roman" w:cs="Times New Roman"/>
                <w:color w:val="auto"/>
                <w:shd w:val="clear" w:color="auto" w:fill="FFFFFF"/>
                <w:lang w:eastAsia="zh-CN"/>
              </w:rPr>
              <w:t>przeciwciał pierwotnych od różnych producentów,  przy jednoczesnym zapewnieniu Wykonawcy , że przeciwciało to będzie w pełni kompatybilne z oferowanym aparatem i systemem wizualizacji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5A0DF8AB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65099C60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3BA2" w14:paraId="016C7EBE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4FE043D3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6996D196" w14:textId="77777777" w:rsidR="000A3BA2" w:rsidRDefault="003643F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przypadku zaoferowania przeciwciała pierwotnego w formie skoncentrowanej Wykonawca zapewnia wystarczającą ilość opakowań o różnej objętości  kompatybilnych z oferowanym systemem do diagnostyki  IHC.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59F362D3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692311BD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BA2" w14:paraId="0C01FE48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3A46F4E6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4F2DE609" w14:textId="77777777" w:rsidR="000A3BA2" w:rsidRDefault="003643F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Odczynniki oraz aparaty barwiące wchodzące w skład systemu barwiącego  do diagnostyki IHC przeznaczone do  diagnostyki in vitro oraz posiadają certyfikat CE –IVD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2EDEBB57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31C5CACE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3BA2" w14:paraId="6616A59F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4384C189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57017325" w14:textId="77777777" w:rsidR="000A3BA2" w:rsidRDefault="003643FF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Oferowany system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barwień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IHC w zestawie  posiada kompleksowe aparaty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barwień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ze sprzętem i oprogramowaniem informatycznym, laserową drukarkę do raportów z tonerami zapewniającym ciągłość pracy do końca trwania umowy, drukarkę kodów na naklejkach wraz z zestawami naklejek oraz tuszami do wykonania 76 000 preparatów.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6DAB2C21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5AC8D816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BA2" w14:paraId="1A0F5ED7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405C921C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3A5E1AE2" w14:textId="77777777" w:rsidR="000A3BA2" w:rsidRDefault="003643F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 musi zapewnić ciągłość pracy systemu do diagnostyki IHC  podczas zaniku zasilania na czas co najmniej 20 minut.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473A1A5B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B11EF20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3BA2" w14:paraId="396A7D2C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5AB62B21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9A186B4" w14:textId="1322697A" w:rsidR="000A3BA2" w:rsidRPr="00BE356A" w:rsidRDefault="003643FF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E356A">
              <w:rPr>
                <w:rFonts w:ascii="Times New Roman" w:hAnsi="Times New Roman" w:cs="Times New Roman"/>
                <w:color w:val="000000" w:themeColor="text1"/>
                <w:lang w:eastAsia="zh-CN"/>
              </w:rPr>
              <w:t>Wymaga  się systemu do diagnostyki IHC, który ma możliwość pracy zarówno w systemie otwartym z użyciem przeciwciał  innych producentów, jak i w systemie zamkniętym, gdzie w obu przypadkach badanie oparte są na wizualizacji pochodzącej od jednego producenta.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64B96894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37EDD0A8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BA2" w14:paraId="7563C08B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4550C70B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46F0C477" w14:textId="77777777" w:rsidR="000A3BA2" w:rsidRDefault="003643F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Aparaty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barwień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IHC posiadają możliwość wykonania testów/oznaczeń podwójnych na jednym preparacie.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1DADF069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34ECA431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BA2" w14:paraId="14C5389A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0EDE7F0C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08BCAE3A" w14:textId="77777777" w:rsidR="000A3BA2" w:rsidRDefault="003643FF">
            <w:pPr>
              <w:spacing w:after="0"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System do IHC posiada możliwość wykonania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chromogenowej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hybrydyzacji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 situ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albo bezpośrednio w aparatach barwiących, albo na dodatkowej przystawce (osprzęt) wykonującej hybrydyzacje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 situ.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4974A9C2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BA14448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BA2" w14:paraId="77FB6761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6D19397E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7BBF96E6" w14:textId="77777777" w:rsidR="000A3BA2" w:rsidRDefault="003643F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Aparaty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barwień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IHC zapewniają segregację odpadów na bezpieczne i niebezpieczne, umożliwiając tym samym utylizację DAB-u, który w każdym rozcieńczeniu stanowi zagrożenie dla użytkowników 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środowiska. 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000CE6C7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09FDFF18" w14:textId="77777777" w:rsidR="000A3BA2" w:rsidRDefault="000A3BA2">
            <w:pPr>
              <w:spacing w:after="0" w:line="100" w:lineRule="atLeast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FE1EE" w14:textId="77777777" w:rsidR="000A3BA2" w:rsidRDefault="003643F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A3BA2" w14:paraId="33A08BE3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02B9EF0D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32146E1C" w14:textId="77777777" w:rsidR="000A3BA2" w:rsidRDefault="003643F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System do diagnostyki IHC musi mieć przepustowość 120 + /- 10 % testów/oznaczeń IHC w ciągu 7 godzin 35 minut pracy, przy czym Zamawiający nie dopuszcza nastawiania pracy na noc.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54D0FE57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70BA3C19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3BA2" w14:paraId="0DB77236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3123403C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3063FD30" w14:textId="77777777" w:rsidR="000A3BA2" w:rsidRDefault="003643F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System do diagnostyki IHC posiada możliwość tworzenia raportów dziennych, miesięcznych, statystyk, przeglądania zleceń, raportowania powtórek oraz możliwość wyszukania pacjenta po określonym wektorze.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06F4E78B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7C636F72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BA2" w14:paraId="342222AC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51A53697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4A2C28CE" w14:textId="5F3B6CE0" w:rsidR="000A3BA2" w:rsidRDefault="003643FF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Wykonawca </w:t>
            </w:r>
            <w:r w:rsidR="00A7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zobowiązuje się w cenie umowy do zapewnienia użytkownikowi udziału w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niezależ</w:t>
            </w:r>
            <w:r w:rsidR="00A7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nej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zewnętrz</w:t>
            </w:r>
            <w:r w:rsidR="00A7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nej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kontro</w:t>
            </w:r>
            <w:r w:rsidR="00A75F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jakości </w:t>
            </w:r>
            <w:bookmarkStart w:id="0" w:name="_Hlk79738858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wykonywanych testów/oznaczeń IHC, w tym PD-L1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oraz ALK</w:t>
            </w:r>
            <w:r w:rsidR="0030650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0650E"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  <w:t>D5F1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 niezależnej zewnętrznej jednostce takiej jak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NordiQC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lub UK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Neqas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oraz zapewnia związany z tym proces logistyczny.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1B263A89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24A04920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BA2" w14:paraId="24B84242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77FFE1E7" w14:textId="262EDC2E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53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2E8A5A13" w14:textId="77777777" w:rsidR="000A3BA2" w:rsidRDefault="003643FF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System barwiący IHC  musi być fabrycznie nowy (rok produkcji nie wcześniej niż 2021r), 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0CAE47D3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506109E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3BA2" w14:paraId="54B256AC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4BD2B50B" w14:textId="1645BA12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53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55EDC03E" w14:textId="2FF2739E" w:rsidR="00BE356A" w:rsidRPr="00796FFC" w:rsidRDefault="00BE356A" w:rsidP="00BE356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96FFC">
              <w:rPr>
                <w:rFonts w:ascii="Times New Roman" w:hAnsi="Times New Roman" w:cs="Times New Roman"/>
              </w:rPr>
              <w:t>Wykonawca zobowiązuje się do zapewnienia w cenie umowy szkolenia z obsługi a</w:t>
            </w:r>
            <w:r w:rsidRPr="00BE356A">
              <w:rPr>
                <w:rFonts w:ascii="Times New Roman" w:hAnsi="Times New Roman" w:cs="Times New Roman"/>
              </w:rPr>
              <w:t>paratów</w:t>
            </w:r>
            <w:r w:rsidRPr="00796FFC">
              <w:rPr>
                <w:rFonts w:ascii="Times New Roman" w:hAnsi="Times New Roman" w:cs="Times New Roman"/>
              </w:rPr>
              <w:t xml:space="preserve"> oraz z obsługi systemu informatycznego ( interpretacja wyników)  i dostarczy w tym celu w cenie umowy niezbędne odczynniki i materiały zużywalne do uruchomienia a</w:t>
            </w:r>
            <w:r w:rsidRPr="00BE356A">
              <w:rPr>
                <w:rFonts w:ascii="Times New Roman" w:hAnsi="Times New Roman" w:cs="Times New Roman"/>
              </w:rPr>
              <w:t xml:space="preserve">paratów </w:t>
            </w:r>
            <w:r w:rsidRPr="00796FFC">
              <w:rPr>
                <w:rFonts w:ascii="Times New Roman" w:hAnsi="Times New Roman" w:cs="Times New Roman"/>
              </w:rPr>
              <w:t>oraz przeszkolenia personelu</w:t>
            </w:r>
            <w:r w:rsidRPr="00BE35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F4F7D">
              <w:rPr>
                <w:rFonts w:ascii="Times New Roman" w:hAnsi="Times New Roman" w:cs="Times New Roman"/>
                <w:color w:val="000000"/>
              </w:rPr>
              <w:t xml:space="preserve">( </w:t>
            </w:r>
            <w:r w:rsidR="000F4F7D" w:rsidRPr="000F4F7D">
              <w:rPr>
                <w:rFonts w:ascii="Times New Roman" w:hAnsi="Times New Roman" w:cs="Times New Roman"/>
                <w:color w:val="FF0000"/>
              </w:rPr>
              <w:t>w ilości 10 osób</w:t>
            </w:r>
            <w:r w:rsidR="000F4F7D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796FFC">
              <w:rPr>
                <w:rFonts w:ascii="Times New Roman" w:hAnsi="Times New Roman" w:cs="Times New Roman"/>
              </w:rPr>
              <w:t>.</w:t>
            </w:r>
          </w:p>
          <w:p w14:paraId="6D784361" w14:textId="1BF4EB1A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39BDDF05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4421832E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3BA2" w14:paraId="574FDB32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2BA9F44C" w14:textId="0F5A91C4" w:rsidR="000A3BA2" w:rsidRDefault="00B1539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="003643F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320DCFD7" w14:textId="77777777" w:rsidR="000A3BA2" w:rsidRDefault="003643F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musi zapewnić instrukcję obsługi  przedmiotu dzierżawy w języku polskim.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56EB48D7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B5642DD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BA2" w14:paraId="2DFE054E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59D63452" w14:textId="652991B8" w:rsidR="000A3BA2" w:rsidRDefault="00B1539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19</w:t>
            </w:r>
            <w:r w:rsidR="003643F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09A20BE7" w14:textId="77777777" w:rsidR="000A3BA2" w:rsidRDefault="003643F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Wszelkie wycieki odczynników wynikające z wadliwych podzespołów (uszczelek, zaworków, filtrów) wykonawca winien pokrywać w formie rekompensaty.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28AF55CA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697AFB0D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3BA2" w14:paraId="460F52F8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051E442D" w14:textId="4AAFC525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B1539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752A26B8" w14:textId="77777777" w:rsidR="000A3BA2" w:rsidRDefault="003643F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Zamawiający wymaga, aby Wykonawca określił rzeczywiste zużycie odczynników służących do mycia maszyny po każdorazowym procesie barwienia. Zamawiający nie dopuszcza zużycia odczynników na wyrównywanie ciśnień w aparacie (jeśli dotyczy).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6D1C5FC5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7492FD60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3BA2" w14:paraId="4A5FD627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54EEE11D" w14:textId="0E9EA0B0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5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6B3EFA63" w14:textId="77777777" w:rsidR="000A3BA2" w:rsidRDefault="003643F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Zamawiający wymaga, aby system barwiący identyfikował odczynniki na podstawie informacji z kodów ze szkiełek i wskazywał jakich (niezbędnych) odczynników brakuje.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6A189489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4C072D40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3BA2" w14:paraId="4EFD4705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7D604D5B" w14:textId="05C5DB7E" w:rsidR="000A3BA2" w:rsidRDefault="00B1539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22</w:t>
            </w:r>
            <w:r w:rsidR="003643F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72849AE9" w14:textId="77777777" w:rsidR="000A3BA2" w:rsidRDefault="003643F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Aparaty, UPS-y, zestawy komputerowe wraz z drukarkami i drukarką kodów powinny być dostosowane wielkością do pomieszczenia, jakim dysponuje Zamawiający. Zamawiający wymaga,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aby aparaty nie wymagały podłączenia do dygestorium ani do sieci wodno-kanalizacyjnej. Wykonawca winien uwzględnić w pomieszczeniu elementy takie jak blat pod komputer, półki na przechowywanie odczynników, które nie wymagają trzymania ich w warunkach chłodniczych.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6437CA6A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4B5D2265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3BA2" w14:paraId="089D19C2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23332F4A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7DA9F34F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Parametry wymagane dla systemu do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barwień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histochemicznych /1 sztuka /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7BE81E33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Warunek konieczny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12DB7827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parametrów oferowanych</w:t>
            </w:r>
          </w:p>
        </w:tc>
      </w:tr>
      <w:tr w:rsidR="000A3BA2" w14:paraId="076EA11D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0DF1D3B0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152C0DC" w14:textId="77777777" w:rsidR="000A3BA2" w:rsidRDefault="003643FF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Ilość odczynników oraz materiałów eksploatacyjnych powinna być skalkulowana tak aby umożliwiała wykonanie 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barwień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histochemicznych przez okres 36 miesięcy (alkohole Zamawiający zapewnia we własnym zakresie).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2EBD7B0F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3626BEB3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3BA2" w14:paraId="746AA3B3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3A277EF9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83EDB18" w14:textId="77777777" w:rsidR="000A3BA2" w:rsidRDefault="003643F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Odczynniki 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barwień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histochemicznych w postaci płynnej: gotowe do użycia lub/oraz koncentraty do rozcieńczenia.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3E67E9E1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3384457D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3BA2" w14:paraId="1819FB70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3A16FB52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EB444D8" w14:textId="77777777" w:rsidR="000A3BA2" w:rsidRDefault="003643F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Odczynniki oraz aparat barwiący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barwień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histochemicznych przeznaczone są do  diagnostyki in vitro oraz posiadają certyfikat CE-IVD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04C1D3F6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AED2E68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BA2" w14:paraId="454E6B2C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10FA8AB6" w14:textId="0B65BE82" w:rsidR="000A3BA2" w:rsidRDefault="00C3343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3643F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76A82F72" w14:textId="77777777" w:rsidR="000A3BA2" w:rsidRDefault="003643FF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Oferowany system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barwień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histochemicznych w zestawie  posiada: kompleksowy aparat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barwień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ze sprzętem i oprogramowaniem informatycznym, laserową drukarkę do raportów z tonerami zapewniającym ciągłość pracy do końca trwania umowy, drukarkę kodów na naklejkach wraz z zestawami naklejek oraz tuszami do wykonania 1000 preparatów, zasilacz.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2D31259F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517D0C51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BA2" w14:paraId="1825DF78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6C725877" w14:textId="10BD5915" w:rsidR="000A3BA2" w:rsidRDefault="00C3343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3643F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79B8B321" w14:textId="77777777" w:rsidR="000A3BA2" w:rsidRDefault="003643F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Wykonawca  musi zapewnić ciągłość pracy aparatu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barwień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histochemicznych  podczas zaniku zasilania na czas co najmniej 20 minut.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3DBCFA64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5DE9C7B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3BA2" w14:paraId="58E64C59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7FFACEB0" w14:textId="1ED62597" w:rsidR="000A3BA2" w:rsidRDefault="00C3343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3643F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53D83CCF" w14:textId="77777777" w:rsidR="000A3BA2" w:rsidRDefault="003643F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System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barwień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histochemicznych posiada możliwość tworzenia raportów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dziennych, miesięcznych,  statystyk, przeglądania zleceń, raportowania powtórek oraz wyszukania pacjenta po określonym wektorze.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29A1A93E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39E67369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BA2" w14:paraId="3D831512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160BDDEF" w14:textId="20035DBE" w:rsidR="000A3BA2" w:rsidRDefault="00C3343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3643F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604DC701" w14:textId="77777777" w:rsidR="000A3BA2" w:rsidRDefault="003643F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Aparat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barwień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histochemicznych zapewnia etapy podgrzewania preparatu po skrojeniu, odparafinowania oraz barwienia preparatu.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22D85F83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61D4D883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BA2" w14:paraId="587E52C7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68CC3A90" w14:textId="7E726341" w:rsidR="000A3BA2" w:rsidRDefault="00C3343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3643F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7DEF9D25" w14:textId="77777777" w:rsidR="000A3BA2" w:rsidRDefault="003643F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Aparat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barwień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histochemicznych zapewnia segregację odpadów na bezpieczne i niebezpieczne/szkodliwe wymagające utylizacji.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6C6C97CA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D080A42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BA2" w14:paraId="15FC77FD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013A7D1B" w14:textId="4E1D0D4D" w:rsidR="000A3BA2" w:rsidRDefault="00C3343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4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3BDE1BFF" w14:textId="77777777" w:rsidR="000A3BA2" w:rsidRDefault="003643FF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Aparaty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barwień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histochemicznych mają być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fabrycznie nowe, wyprodukowane nie wcześniej niż w 2021r.</w:t>
            </w:r>
            <w:r>
              <w:rPr>
                <w:rFonts w:ascii="Times New Roman" w:hAnsi="Times New Roman" w:cs="Times New Roman"/>
                <w:color w:val="FF66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52E4DF67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315B4896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BA2" w14:paraId="2ADB319F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7F743814" w14:textId="7B53EA7B" w:rsidR="000A3BA2" w:rsidRDefault="00C3343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64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2898482F" w14:textId="77777777" w:rsidR="000A3BA2" w:rsidRDefault="003643F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System do diagnostyki histochemicznej musi mieć przepustowość 10 +/- 10%  testów/ oznaczeń histochemicznych w ciągu 7 godzin 35 minut pracy, przy czym Zamawiający nie dopuszcza nastawiania pracy na noc.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751602B8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68735044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3BA2" w14:paraId="0219DEB9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3C3B99C5" w14:textId="7CBB1B6B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3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5586DBAE" w14:textId="77777777" w:rsidR="000A3BA2" w:rsidRDefault="003643F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musi zapewnić instrukcję obsługi  przedmiotu dzierżawy w języku polskim.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31A67622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5A0EBA9C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3BA2" w14:paraId="7CFAFCFA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35820FD6" w14:textId="5D2AF9CD" w:rsidR="000A3BA2" w:rsidRDefault="00C3343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64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59A65A29" w14:textId="0080F732" w:rsidR="000A3BA2" w:rsidRPr="000F4F7D" w:rsidRDefault="003643FF">
            <w:pPr>
              <w:spacing w:after="0" w:line="100" w:lineRule="atLeast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0F4F7D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eastAsia="pl-PL"/>
              </w:rPr>
              <w:t xml:space="preserve">Wykonawca wraz z zamawianymi odczynnikami musi dostarczyć ich karty charakterystyki w formie </w:t>
            </w:r>
            <w:r w:rsidRPr="000F4F7D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single"/>
                <w:lang w:eastAsia="pl-PL"/>
              </w:rPr>
              <w:t>pisemnej</w:t>
            </w:r>
            <w:r w:rsidRPr="000F4F7D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eastAsia="pl-PL"/>
              </w:rPr>
              <w:t xml:space="preserve"> oraz elektronicznej w języku polskim, a także</w:t>
            </w:r>
            <w:r w:rsidRPr="000F4F7D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ich </w:t>
            </w:r>
            <w:r w:rsidRPr="000F4F7D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single"/>
              </w:rPr>
              <w:t>kolejne aktualizacje</w:t>
            </w:r>
            <w:r w:rsidRPr="000F4F7D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w formie pisemnej oraz elektronicznej</w:t>
            </w:r>
            <w:r w:rsidRPr="00C44D6A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.</w:t>
            </w:r>
            <w:r w:rsidR="000F4F7D" w:rsidRPr="00C44D6A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r w:rsidR="000F4F7D" w:rsidRPr="00C44D6A">
              <w:rPr>
                <w:rFonts w:ascii="Times New Roman" w:hAnsi="Times New Roman" w:cs="Times New Roman"/>
                <w:color w:val="FF0000"/>
              </w:rPr>
              <w:t xml:space="preserve">Wykonawca </w:t>
            </w:r>
            <w:r w:rsidR="000F4F7D" w:rsidRPr="00C44D6A">
              <w:rPr>
                <w:rFonts w:ascii="Times New Roman" w:hAnsi="Times New Roman" w:cs="Times New Roman"/>
                <w:color w:val="FF0000"/>
                <w:lang w:eastAsia="pl-PL"/>
              </w:rPr>
              <w:t>zobowiązany jest do dołączenia do każdej serii dostarczonego towaru – jeśli specyfika towaru tego wymaga, świadectwo kontroli, kartę charakterystyki wraz z pierwszą dostawą oraz instrukcję użytkowania z każdą dostawą lub dokumenty te zostaną udostępnione przez Wykonawcę na stronie internetowej lub poprzez e-maila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5DDDCA6F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20ABE19D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3BA2" w14:paraId="2DDF352E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32A825B8" w14:textId="5ED15264" w:rsidR="000A3BA2" w:rsidRDefault="00C3343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64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77BBD6C9" w14:textId="77777777" w:rsidR="000A3BA2" w:rsidRDefault="003643F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Wszelkie wycieki odczynników wynikające z wadliwych podzespołów (uszczelek, zaworków, filtrów) wykonawca winien pokrywać w formie rekompensaty.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7C2BE024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3A42C07C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3BA2" w14:paraId="7E41055F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67080145" w14:textId="26C13554" w:rsidR="000A3BA2" w:rsidRDefault="00C3343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364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3925B2EC" w14:textId="77777777" w:rsidR="000A3BA2" w:rsidRDefault="003643F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Zamawiający wymaga, aby Wykonawca określił rzeczywiste zużycie odczynników służących do mycia maszyny po każdorazowym procesie barwienia. Zamawiający nie dopuszcza zużycia odczynników na wyrównywanie ciśnień w aparacie (jeśli dotyczy).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764DCF10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220D9605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3BA2" w14:paraId="66536CD6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4B2960B4" w14:textId="2BD088F1" w:rsidR="000A3BA2" w:rsidRDefault="00454B2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64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0D6FAAC4" w14:textId="77777777" w:rsidR="000A3BA2" w:rsidRDefault="003643F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Aparaty, UPS-y, zestawy komputerowe wraz z drukarkami i drukarką kodów powinny być dostosowane wielkością do pomieszczenia, jakim dysponuje Zamawiający. Zamawiający wymaga, aby aparaty nie wymagały podłączenia do dygestorium ani do sieci wodno-kanalizacyjnej. Wykonawca winien uwzględnić w pomieszczeniu elementy takie jak blat pod komputer, półki na przechowywanie odczynników, które nie wymagają trzymania ich w warunkach chłodniczych.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0FF6DEB9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0CCB178E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3BA2" w14:paraId="05FC7945" w14:textId="77777777" w:rsidTr="00BE356A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7ED79EC2" w14:textId="7CBB9ACC" w:rsidR="000A3BA2" w:rsidRDefault="00454B2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64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30F28558" w14:textId="77777777" w:rsidR="000A3BA2" w:rsidRDefault="003643F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Zamawiający wymaga, aby system barwiący identyfikował odczynniki na podstawie informacji z kodów ze szkiełek i wskazywał jakich (niezbędnych) odczynników brakuje.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62F24706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039BAB04" w14:textId="77777777" w:rsidR="000A3BA2" w:rsidRDefault="000A3B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1C5041D" w14:textId="77777777" w:rsidR="000A3BA2" w:rsidRDefault="000A3BA2">
      <w:pPr>
        <w:rPr>
          <w:rFonts w:ascii="Times New Roman" w:hAnsi="Times New Roman" w:cs="Times New Roman"/>
          <w:sz w:val="24"/>
          <w:szCs w:val="24"/>
        </w:rPr>
      </w:pPr>
    </w:p>
    <w:p w14:paraId="3E3BA148" w14:textId="77777777" w:rsidR="000A3BA2" w:rsidRDefault="000A3BA2">
      <w:pPr>
        <w:rPr>
          <w:rFonts w:ascii="Times New Roman" w:hAnsi="Times New Roman" w:cs="Times New Roman"/>
          <w:sz w:val="24"/>
          <w:szCs w:val="24"/>
        </w:rPr>
      </w:pPr>
    </w:p>
    <w:p w14:paraId="10A70B58" w14:textId="77777777" w:rsidR="000A3BA2" w:rsidRDefault="003643FF">
      <w:pPr>
        <w:rPr>
          <w:rFonts w:ascii="Times New Roman" w:hAnsi="Times New Roman" w:cs="Times New Roman"/>
          <w:color w:val="FF6600"/>
          <w:u w:val="single"/>
        </w:rPr>
      </w:pPr>
      <w:r>
        <w:rPr>
          <w:rFonts w:ascii="Times New Roman" w:hAnsi="Times New Roman" w:cs="Times New Roman"/>
          <w:b/>
          <w:bCs/>
          <w:color w:val="FF6600"/>
          <w:u w:val="single"/>
          <w:lang w:eastAsia="zh-CN"/>
        </w:rPr>
        <w:t>Zamawiający zastrzega zatrzymanie dysków z danymi po zakończeniu trwania umowy.</w:t>
      </w:r>
    </w:p>
    <w:p w14:paraId="736AEDAE" w14:textId="77777777" w:rsidR="000A3BA2" w:rsidRDefault="000A3BA2">
      <w:pPr>
        <w:rPr>
          <w:rFonts w:ascii="Times New Roman" w:hAnsi="Times New Roman" w:cs="Times New Roman"/>
          <w:sz w:val="24"/>
          <w:szCs w:val="24"/>
        </w:rPr>
      </w:pPr>
    </w:p>
    <w:p w14:paraId="682D2DAF" w14:textId="77777777" w:rsidR="000A3BA2" w:rsidRDefault="003643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PARAMETRY OCENIANE</w:t>
      </w:r>
    </w:p>
    <w:tbl>
      <w:tblPr>
        <w:tblW w:w="9656" w:type="dxa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8" w:type="dxa"/>
        </w:tblCellMar>
        <w:tblLook w:val="00A0" w:firstRow="1" w:lastRow="0" w:firstColumn="1" w:lastColumn="0" w:noHBand="0" w:noVBand="0"/>
      </w:tblPr>
      <w:tblGrid>
        <w:gridCol w:w="618"/>
        <w:gridCol w:w="3972"/>
        <w:gridCol w:w="1244"/>
        <w:gridCol w:w="3822"/>
      </w:tblGrid>
      <w:tr w:rsidR="000A3BA2" w14:paraId="473A9977" w14:textId="77777777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283E8DFC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02D9B63F" w14:textId="77777777" w:rsidR="000A3BA2" w:rsidRDefault="003643FF">
            <w:pPr>
              <w:spacing w:after="0" w:line="100" w:lineRule="atLeast"/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Możliwość ciągłego dokładania odczynników i szkiełek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barwień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bez konieczności oczekiwania na zakończenie cyklu barwienia.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75313D1D" w14:textId="77777777" w:rsidR="000A3BA2" w:rsidRDefault="000A3BA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7D028482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64A2739F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NIE*</w:t>
            </w:r>
          </w:p>
        </w:tc>
      </w:tr>
      <w:tr w:rsidR="000A3BA2" w14:paraId="7728D746" w14:textId="77777777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2E1E49FE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5B094DFE" w14:textId="77777777" w:rsidR="000A3BA2" w:rsidRDefault="003643FF">
            <w:pPr>
              <w:spacing w:after="0" w:line="100" w:lineRule="atLeast"/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Możliwość drukowania protokołów barwienia poszczególnych testów/badań IHC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barwień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histochemicznych z programu komputerowego, zawierających informacje takie jak: rodzaj odkrywania, długość inkubacji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pierwotnym przeciwciałem, zastosowany system barwiący, czas inkubacji z pierwotnym przeciwciałem oraz szczegółowe protokoły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barwień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histochemicznych.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0F01F65F" w14:textId="77777777" w:rsidR="000A3BA2" w:rsidRDefault="000A3BA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59555FF8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3B4F958B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NIE*</w:t>
            </w:r>
          </w:p>
        </w:tc>
      </w:tr>
      <w:tr w:rsidR="000A3BA2" w14:paraId="30D70838" w14:textId="77777777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74D79A34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0E43ADD0" w14:textId="77777777" w:rsidR="000A3BA2" w:rsidRDefault="003643FF">
            <w:pPr>
              <w:spacing w:after="0" w:line="100" w:lineRule="atLeast"/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Możliwość barwienia 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pylori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Warthin-Starry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lub innego  barwienia, posiadającego  żółte tło i czarne krętki bez toluidyny i azotanu uranylu.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556FADD9" w14:textId="77777777" w:rsidR="000A3BA2" w:rsidRDefault="000A3BA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386D3AE5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51792D98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NIE*</w:t>
            </w:r>
          </w:p>
        </w:tc>
      </w:tr>
      <w:tr w:rsidR="000A3BA2" w14:paraId="581A80E7" w14:textId="77777777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44632AAE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2B6922FD" w14:textId="77777777" w:rsidR="000A3BA2" w:rsidRDefault="003643F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Możliwość  tworzenia własnych protokołów w systemie IHC.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7B700C36" w14:textId="77777777" w:rsidR="000A3BA2" w:rsidRDefault="000A3BA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14917EB0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2CB5DE36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NIE*</w:t>
            </w:r>
          </w:p>
        </w:tc>
      </w:tr>
      <w:tr w:rsidR="000A3BA2" w14:paraId="15DDF42F" w14:textId="77777777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0BCFFC1B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450757A6" w14:textId="77777777" w:rsidR="000A3BA2" w:rsidRDefault="003643F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Możliwość wykonania diagnozy metodą CISH w mniej niż 4 godziny (od momentu włożenia szkiełka do wyjęcia).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45BA4BDA" w14:textId="77777777" w:rsidR="000A3BA2" w:rsidRDefault="000A3BA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16FCCE27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7B7D6D7B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NIE*</w:t>
            </w:r>
          </w:p>
        </w:tc>
      </w:tr>
      <w:tr w:rsidR="000A3BA2" w14:paraId="3469BEF6" w14:textId="77777777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7EED6325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74018BDB" w14:textId="77777777" w:rsidR="000A3BA2" w:rsidRDefault="003643F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Metoda wykonania ISH nie zawierająca srebra.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7A5F55DA" w14:textId="77777777" w:rsidR="000A3BA2" w:rsidRDefault="000A3BA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366D91CB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247EED7E" w14:textId="77777777" w:rsidR="000A3BA2" w:rsidRDefault="003643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 *</w:t>
            </w:r>
          </w:p>
        </w:tc>
      </w:tr>
    </w:tbl>
    <w:p w14:paraId="57CFA215" w14:textId="77777777" w:rsidR="000A3BA2" w:rsidRDefault="000A3BA2">
      <w:pPr>
        <w:rPr>
          <w:rFonts w:ascii="Times New Roman" w:hAnsi="Times New Roman" w:cs="Times New Roman"/>
          <w:sz w:val="24"/>
          <w:szCs w:val="24"/>
        </w:rPr>
      </w:pPr>
    </w:p>
    <w:p w14:paraId="5389DABE" w14:textId="77777777" w:rsidR="000A3BA2" w:rsidRDefault="003643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właściwe zaznaczyć</w:t>
      </w:r>
    </w:p>
    <w:p w14:paraId="1DD2EC3C" w14:textId="0D39295E" w:rsidR="000A3BA2" w:rsidRDefault="00364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Uwaga – za każdą odpowiedź zaznaczoną na TAK Wykonawca otrzyma 5 punktów. </w:t>
      </w:r>
      <w:r w:rsidR="007C10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NIE – 1pkt. </w:t>
      </w:r>
    </w:p>
    <w:p w14:paraId="3FBD8E64" w14:textId="77777777" w:rsidR="000A3BA2" w:rsidRDefault="000A3BA2">
      <w:pPr>
        <w:rPr>
          <w:rFonts w:ascii="Times New Roman" w:hAnsi="Times New Roman" w:cs="Times New Roman"/>
          <w:sz w:val="24"/>
          <w:szCs w:val="24"/>
        </w:rPr>
      </w:pPr>
    </w:p>
    <w:p w14:paraId="660C6EF0" w14:textId="77777777" w:rsidR="000A3BA2" w:rsidRDefault="000A3B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08DA83" w14:textId="77777777" w:rsidR="000A3BA2" w:rsidRDefault="003643FF">
      <w:pPr>
        <w:ind w:firstLine="55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1CB38798" w14:textId="77777777" w:rsidR="000A3BA2" w:rsidRDefault="003643FF">
      <w:pPr>
        <w:ind w:firstLine="55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Wykonawcy</w:t>
      </w:r>
    </w:p>
    <w:p w14:paraId="2E6587F2" w14:textId="77777777" w:rsidR="000A3BA2" w:rsidRDefault="000A3BA2">
      <w:pPr>
        <w:rPr>
          <w:rFonts w:ascii="Times New Roman" w:hAnsi="Times New Roman" w:cs="Times New Roman"/>
          <w:sz w:val="24"/>
          <w:szCs w:val="24"/>
        </w:rPr>
      </w:pPr>
    </w:p>
    <w:p w14:paraId="081D0B76" w14:textId="77777777" w:rsidR="000A3BA2" w:rsidRDefault="000A3BA2">
      <w:pPr>
        <w:rPr>
          <w:rFonts w:ascii="Times New Roman" w:hAnsi="Times New Roman" w:cs="Times New Roman"/>
          <w:sz w:val="24"/>
          <w:szCs w:val="24"/>
        </w:rPr>
      </w:pPr>
    </w:p>
    <w:p w14:paraId="5D4D585A" w14:textId="77777777" w:rsidR="000A3BA2" w:rsidRDefault="000A3BA2">
      <w:pPr>
        <w:rPr>
          <w:rFonts w:ascii="Times New Roman" w:hAnsi="Times New Roman" w:cs="Times New Roman"/>
          <w:sz w:val="24"/>
          <w:szCs w:val="24"/>
        </w:rPr>
      </w:pPr>
    </w:p>
    <w:p w14:paraId="7B434E28" w14:textId="77777777" w:rsidR="000A3BA2" w:rsidRDefault="000A3BA2">
      <w:pPr>
        <w:rPr>
          <w:rFonts w:ascii="Times New Roman" w:hAnsi="Times New Roman" w:cs="Times New Roman"/>
          <w:sz w:val="24"/>
          <w:szCs w:val="24"/>
        </w:rPr>
      </w:pPr>
    </w:p>
    <w:p w14:paraId="601A5016" w14:textId="77777777" w:rsidR="000A3BA2" w:rsidRDefault="000A3BA2">
      <w:pPr>
        <w:rPr>
          <w:rFonts w:ascii="Times New Roman" w:hAnsi="Times New Roman" w:cs="Times New Roman"/>
          <w:sz w:val="24"/>
          <w:szCs w:val="24"/>
        </w:rPr>
      </w:pPr>
    </w:p>
    <w:p w14:paraId="6C7F4A0F" w14:textId="77777777" w:rsidR="000A3BA2" w:rsidRDefault="000A3BA2">
      <w:pPr>
        <w:rPr>
          <w:rFonts w:ascii="Times New Roman" w:hAnsi="Times New Roman" w:cs="Times New Roman"/>
          <w:sz w:val="24"/>
          <w:szCs w:val="24"/>
        </w:rPr>
      </w:pPr>
    </w:p>
    <w:p w14:paraId="6A491B21" w14:textId="77777777" w:rsidR="000A3BA2" w:rsidRDefault="000A3BA2">
      <w:pPr>
        <w:rPr>
          <w:rFonts w:ascii="Times New Roman" w:hAnsi="Times New Roman" w:cs="Times New Roman"/>
          <w:sz w:val="24"/>
          <w:szCs w:val="24"/>
        </w:rPr>
      </w:pPr>
    </w:p>
    <w:p w14:paraId="11A2C098" w14:textId="77777777" w:rsidR="000A3BA2" w:rsidRDefault="000A3BA2"/>
    <w:sectPr w:rsidR="000A3BA2">
      <w:headerReference w:type="default" r:id="rId7"/>
      <w:footerReference w:type="default" r:id="rId8"/>
      <w:pgSz w:w="11906" w:h="16838"/>
      <w:pgMar w:top="1417" w:right="1417" w:bottom="1969" w:left="1417" w:header="0" w:footer="1417" w:gutter="0"/>
      <w:cols w:space="708"/>
      <w:formProt w:val="0"/>
      <w:docGrid w:linePitch="36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4B41E" w14:textId="77777777" w:rsidR="00CA0FEC" w:rsidRDefault="003643FF">
      <w:pPr>
        <w:spacing w:after="0" w:line="240" w:lineRule="auto"/>
      </w:pPr>
      <w:r>
        <w:separator/>
      </w:r>
    </w:p>
  </w:endnote>
  <w:endnote w:type="continuationSeparator" w:id="0">
    <w:p w14:paraId="1EEABE0B" w14:textId="77777777" w:rsidR="00CA0FEC" w:rsidRDefault="00364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C7E4" w14:textId="77777777" w:rsidR="000A3BA2" w:rsidRDefault="003643FF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34782" w14:textId="77777777" w:rsidR="00CA0FEC" w:rsidRDefault="003643FF">
      <w:pPr>
        <w:spacing w:after="0" w:line="240" w:lineRule="auto"/>
      </w:pPr>
      <w:r>
        <w:separator/>
      </w:r>
    </w:p>
  </w:footnote>
  <w:footnote w:type="continuationSeparator" w:id="0">
    <w:p w14:paraId="4249C7EF" w14:textId="77777777" w:rsidR="00CA0FEC" w:rsidRDefault="00364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85DCC" w14:textId="049FDD38" w:rsidR="000A3BA2" w:rsidRDefault="003643FF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DZPZ/333/</w:t>
    </w:r>
    <w:r w:rsidR="00CE0751">
      <w:rPr>
        <w:rFonts w:ascii="Times New Roman" w:hAnsi="Times New Roman" w:cs="Times New Roman"/>
        <w:sz w:val="24"/>
        <w:szCs w:val="24"/>
      </w:rPr>
      <w:t>27UEPN/2021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Załącznik nr </w:t>
    </w:r>
    <w:r w:rsidR="00CE0751">
      <w:rPr>
        <w:rFonts w:ascii="Times New Roman" w:hAnsi="Times New Roman" w:cs="Times New Roman"/>
        <w:sz w:val="24"/>
        <w:szCs w:val="24"/>
      </w:rPr>
      <w:t>7</w:t>
    </w:r>
    <w:r>
      <w:rPr>
        <w:rFonts w:ascii="Times New Roman" w:hAnsi="Times New Roman" w:cs="Times New Roman"/>
        <w:sz w:val="24"/>
        <w:szCs w:val="24"/>
      </w:rPr>
      <w:t xml:space="preserve"> do SWZ.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018A5"/>
    <w:multiLevelType w:val="hybridMultilevel"/>
    <w:tmpl w:val="72BAE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BA2"/>
    <w:rsid w:val="000823DB"/>
    <w:rsid w:val="000A3BA2"/>
    <w:rsid w:val="000F4F7D"/>
    <w:rsid w:val="001E7229"/>
    <w:rsid w:val="0030650E"/>
    <w:rsid w:val="003643FF"/>
    <w:rsid w:val="00454B24"/>
    <w:rsid w:val="007C101B"/>
    <w:rsid w:val="00A75F50"/>
    <w:rsid w:val="00B03DEF"/>
    <w:rsid w:val="00B15393"/>
    <w:rsid w:val="00BE356A"/>
    <w:rsid w:val="00C33436"/>
    <w:rsid w:val="00C44D6A"/>
    <w:rsid w:val="00CA0FEC"/>
    <w:rsid w:val="00CE0751"/>
    <w:rsid w:val="00F6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0A90"/>
  <w15:docId w15:val="{6799713E-AAF6-491A-930D-688D1EE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C06"/>
    <w:pPr>
      <w:suppressAutoHyphens/>
      <w:spacing w:after="200" w:line="276" w:lineRule="auto"/>
    </w:pPr>
    <w:rPr>
      <w:rFonts w:cs="Calibri"/>
      <w:color w:val="00000A"/>
      <w:kern w:val="2"/>
      <w:sz w:val="22"/>
      <w:lang w:eastAsia="en-US"/>
    </w:rPr>
  </w:style>
  <w:style w:type="paragraph" w:styleId="Nagwek2">
    <w:name w:val="heading 2"/>
    <w:basedOn w:val="Normalny"/>
    <w:link w:val="Nagwek2Znak1"/>
    <w:uiPriority w:val="99"/>
    <w:qFormat/>
    <w:rsid w:val="00A32C06"/>
    <w:pPr>
      <w:spacing w:before="280" w:after="280" w:line="100" w:lineRule="atLeast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1">
    <w:name w:val="Nagłówek 2 Znak1"/>
    <w:basedOn w:val="Domylnaczcionkaakapitu"/>
    <w:link w:val="Nagwek2"/>
    <w:uiPriority w:val="99"/>
    <w:semiHidden/>
    <w:qFormat/>
    <w:locked/>
    <w:rsid w:val="00E6730D"/>
    <w:rPr>
      <w:rFonts w:ascii="Cambria" w:hAnsi="Cambria" w:cs="Cambria"/>
      <w:b/>
      <w:bCs/>
      <w:i/>
      <w:iCs/>
      <w:color w:val="00000A"/>
      <w:kern w:val="2"/>
      <w:sz w:val="28"/>
      <w:szCs w:val="28"/>
      <w:lang w:eastAsia="en-US"/>
    </w:rPr>
  </w:style>
  <w:style w:type="character" w:styleId="Odwoaniedokomentarza">
    <w:name w:val="annotation reference"/>
    <w:basedOn w:val="Domylnaczcionkaakapitu"/>
    <w:uiPriority w:val="99"/>
    <w:semiHidden/>
    <w:qFormat/>
    <w:rsid w:val="00A32C06"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sid w:val="00A32C06"/>
    <w:rPr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qFormat/>
    <w:rsid w:val="00A32C06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uiPriority w:val="99"/>
    <w:qFormat/>
    <w:rsid w:val="00A32C0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uiPriority w:val="99"/>
    <w:qFormat/>
    <w:rsid w:val="00A32C06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Zakotwiczenieprzypisudolnego">
    <w:name w:val="Zakotwiczenie przypisu dolnego"/>
    <w:uiPriority w:val="99"/>
    <w:rsid w:val="00A32C06"/>
    <w:rPr>
      <w:vertAlign w:val="superscript"/>
    </w:rPr>
  </w:style>
  <w:style w:type="character" w:customStyle="1" w:styleId="FontStyle24">
    <w:name w:val="Font Style24"/>
    <w:uiPriority w:val="99"/>
    <w:qFormat/>
    <w:rsid w:val="00A32C06"/>
    <w:rPr>
      <w:rFonts w:ascii="Bookman Old Style" w:hAnsi="Bookman Old Style" w:cs="Bookman Old Style"/>
      <w:sz w:val="16"/>
      <w:szCs w:val="16"/>
    </w:rPr>
  </w:style>
  <w:style w:type="character" w:customStyle="1" w:styleId="FontStyle28">
    <w:name w:val="Font Style28"/>
    <w:uiPriority w:val="99"/>
    <w:qFormat/>
    <w:rsid w:val="00A32C06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E6730D"/>
    <w:rPr>
      <w:color w:val="00000A"/>
      <w:kern w:val="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E6730D"/>
    <w:rPr>
      <w:color w:val="00000A"/>
      <w:kern w:val="2"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locked/>
    <w:rsid w:val="00E6730D"/>
    <w:rPr>
      <w:color w:val="00000A"/>
      <w:kern w:val="2"/>
      <w:sz w:val="20"/>
      <w:szCs w:val="20"/>
      <w:lang w:eastAsia="en-US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locked/>
    <w:rsid w:val="00E6730D"/>
    <w:rPr>
      <w:b/>
      <w:bCs/>
      <w:color w:val="00000A"/>
      <w:kern w:val="2"/>
      <w:sz w:val="20"/>
      <w:szCs w:val="20"/>
      <w:lang w:eastAsia="en-US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locked/>
    <w:rsid w:val="00E6730D"/>
    <w:rPr>
      <w:rFonts w:ascii="Times New Roman" w:hAnsi="Times New Roman" w:cs="Times New Roman"/>
      <w:color w:val="00000A"/>
      <w:kern w:val="2"/>
      <w:sz w:val="2"/>
      <w:szCs w:val="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E6730D"/>
    <w:rPr>
      <w:color w:val="00000A"/>
      <w:kern w:val="2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E6730D"/>
    <w:rPr>
      <w:color w:val="00000A"/>
      <w:kern w:val="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rsid w:val="00A32C0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32C06"/>
    <w:pPr>
      <w:spacing w:after="120"/>
    </w:pPr>
  </w:style>
  <w:style w:type="paragraph" w:styleId="Lista">
    <w:name w:val="List"/>
    <w:basedOn w:val="Tekstpodstawowy"/>
    <w:uiPriority w:val="99"/>
    <w:rsid w:val="00A32C06"/>
  </w:style>
  <w:style w:type="paragraph" w:styleId="Legenda">
    <w:name w:val="caption"/>
    <w:basedOn w:val="Normalny"/>
    <w:uiPriority w:val="99"/>
    <w:qFormat/>
    <w:rsid w:val="00A32C0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A32C06"/>
    <w:pPr>
      <w:suppressLineNumbers/>
    </w:pPr>
  </w:style>
  <w:style w:type="paragraph" w:styleId="Tekstkomentarza">
    <w:name w:val="annotation text"/>
    <w:basedOn w:val="Normalny"/>
    <w:link w:val="TekstkomentarzaZnak1"/>
    <w:uiPriority w:val="99"/>
    <w:semiHidden/>
    <w:qFormat/>
    <w:rsid w:val="00A32C06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semiHidden/>
    <w:qFormat/>
    <w:rsid w:val="00A32C06"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qFormat/>
    <w:rsid w:val="00A32C0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A32C06"/>
  </w:style>
  <w:style w:type="paragraph" w:customStyle="1" w:styleId="Nagwektabeli">
    <w:name w:val="Nagłówek tabeli"/>
    <w:basedOn w:val="Zawartotabeli"/>
    <w:uiPriority w:val="99"/>
    <w:qFormat/>
    <w:rsid w:val="00A32C06"/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32C06"/>
  </w:style>
  <w:style w:type="paragraph" w:styleId="Stopka">
    <w:name w:val="footer"/>
    <w:basedOn w:val="Normalny"/>
    <w:link w:val="StopkaZnak"/>
    <w:uiPriority w:val="99"/>
    <w:rsid w:val="00A32C06"/>
  </w:style>
  <w:style w:type="paragraph" w:customStyle="1" w:styleId="Style2">
    <w:name w:val="Style2"/>
    <w:basedOn w:val="Normalny"/>
    <w:uiPriority w:val="99"/>
    <w:qFormat/>
    <w:rsid w:val="00A32C06"/>
    <w:pPr>
      <w:spacing w:line="281" w:lineRule="exact"/>
    </w:pPr>
    <w:rPr>
      <w:rFonts w:ascii="Bookman Old Style" w:hAnsi="Bookman Old Style" w:cs="Bookman Old Style"/>
      <w:lang w:eastAsia="ar-SA"/>
    </w:rPr>
  </w:style>
  <w:style w:type="paragraph" w:customStyle="1" w:styleId="Style4">
    <w:name w:val="Style4"/>
    <w:basedOn w:val="Normalny"/>
    <w:uiPriority w:val="99"/>
    <w:qFormat/>
    <w:rsid w:val="00A32C06"/>
    <w:pPr>
      <w:spacing w:line="284" w:lineRule="exact"/>
      <w:jc w:val="both"/>
    </w:pPr>
    <w:rPr>
      <w:rFonts w:ascii="Bookman Old Style" w:hAnsi="Bookman Old Style" w:cs="Bookman Old Style"/>
      <w:lang w:eastAsia="ar-SA"/>
    </w:rPr>
  </w:style>
  <w:style w:type="paragraph" w:customStyle="1" w:styleId="ZnakZnak1ZnakZnakZnakZnak">
    <w:name w:val="Znak Znak1 Znak Znak Znak Znak"/>
    <w:basedOn w:val="Normalny"/>
    <w:uiPriority w:val="99"/>
    <w:qFormat/>
    <w:rsid w:val="00FF36A5"/>
    <w:pPr>
      <w:suppressAutoHyphens w:val="0"/>
      <w:spacing w:after="0" w:line="240" w:lineRule="auto"/>
    </w:pPr>
    <w:rPr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8</Pages>
  <Words>1629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Kotecka</dc:creator>
  <dc:description/>
  <cp:lastModifiedBy>Beata Dela</cp:lastModifiedBy>
  <cp:revision>22</cp:revision>
  <cp:lastPrinted>2021-08-13T12:22:00Z</cp:lastPrinted>
  <dcterms:created xsi:type="dcterms:W3CDTF">2018-01-04T07:46:00Z</dcterms:created>
  <dcterms:modified xsi:type="dcterms:W3CDTF">2021-09-06T06:49:00Z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